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893.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ff0000"/>
                <w:sz w:val="24"/>
                <w:szCs w:val="24"/>
              </w:rPr>
            </w:pPr>
            <w:r w:rsidDel="00000000" w:rsidR="00000000" w:rsidRPr="00000000">
              <w:rPr>
                <w:rFonts w:ascii="Arial" w:cs="Arial" w:eastAsia="Arial" w:hAnsi="Arial"/>
                <w:b w:val="1"/>
                <w:color w:val="ff0000"/>
                <w:sz w:val="24"/>
                <w:szCs w:val="24"/>
                <w:rtl w:val="0"/>
              </w:rPr>
              <w:t xml:space="preserve">“Benchmark Rate”</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ff0000"/>
                <w:sz w:val="24"/>
                <w:szCs w:val="24"/>
              </w:rPr>
            </w:pPr>
            <w:r w:rsidDel="00000000" w:rsidR="00000000" w:rsidRPr="00000000">
              <w:rPr>
                <w:rFonts w:ascii="Arial" w:cs="Arial" w:eastAsia="Arial" w:hAnsi="Arial"/>
                <w:color w:val="ff0000"/>
                <w:sz w:val="24"/>
                <w:szCs w:val="24"/>
                <w:rtl w:val="0"/>
              </w:rPr>
              <w:t xml:space="preserve">means the Charges attributable to the Benchmarked Deliverables;</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w:t>
      </w:r>
    </w:p>
    <w:p w:rsidR="00000000" w:rsidDel="00000000" w:rsidP="00000000" w:rsidRDefault="00000000" w:rsidRPr="00000000" w14:paraId="0000001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30">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3119" w:hanging="566.9999999999999"/>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5">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tabs>
          <w:tab w:val="left" w:leader="none" w:pos="923"/>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-13332</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kp1Ha67HCZ/wlqHNXgKam5VyXQ==">CgMxLjAyCGguZ2pkZ3hzMgloLjMwajB6bGwyCWguMWZvYjl0ZTIJaC4zem55c2g3MgloLjJldDkycDAyCGgudHlqY3d0OAByITFvMU42R0plMTNRTFJSQlB1Sll0My1YZkxIRGt6a2dpRQ==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